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98" w:rsidRDefault="00582398" w:rsidP="001C768A">
      <w:pPr>
        <w:pStyle w:val="NormalWeb"/>
        <w:spacing w:before="0" w:beforeAutospacing="0" w:after="0" w:afterAutospacing="0"/>
        <w:rPr>
          <w:rStyle w:val="Strong"/>
          <w:color w:val="0E101A"/>
        </w:rPr>
      </w:pPr>
      <w:bookmarkStart w:id="0" w:name="_GoBack"/>
      <w:bookmarkEnd w:id="0"/>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A76378" w:rsidRDefault="00A76378" w:rsidP="00A76378">
      <w:pPr>
        <w:spacing w:line="480" w:lineRule="auto"/>
        <w:jc w:val="center"/>
        <w:rPr>
          <w:rFonts w:ascii="Times New Roman" w:hAnsi="Times New Roman" w:cs="Times New Roman"/>
          <w:b/>
          <w:sz w:val="24"/>
          <w:szCs w:val="24"/>
        </w:rPr>
      </w:pPr>
      <w:r w:rsidRPr="00E44259">
        <w:rPr>
          <w:rFonts w:ascii="Times New Roman" w:hAnsi="Times New Roman" w:cs="Times New Roman"/>
          <w:b/>
          <w:sz w:val="24"/>
          <w:szCs w:val="24"/>
        </w:rPr>
        <w:t xml:space="preserve">The </w:t>
      </w:r>
      <w:r w:rsidR="006F0AB1">
        <w:rPr>
          <w:rFonts w:ascii="Times New Roman" w:hAnsi="Times New Roman" w:cs="Times New Roman"/>
          <w:b/>
          <w:sz w:val="24"/>
          <w:szCs w:val="24"/>
        </w:rPr>
        <w:t xml:space="preserve"> Role</w:t>
      </w:r>
      <w:r>
        <w:rPr>
          <w:rFonts w:ascii="Times New Roman" w:hAnsi="Times New Roman" w:cs="Times New Roman"/>
          <w:b/>
          <w:sz w:val="24"/>
          <w:szCs w:val="24"/>
        </w:rPr>
        <w:t xml:space="preserve"> for auditing</w:t>
      </w:r>
    </w:p>
    <w:p w:rsidR="00A76378" w:rsidRPr="00000B44" w:rsidRDefault="00A76378" w:rsidP="00A76378">
      <w:pPr>
        <w:spacing w:line="480" w:lineRule="auto"/>
        <w:jc w:val="center"/>
        <w:rPr>
          <w:rFonts w:ascii="Times New Roman" w:hAnsi="Times New Roman" w:cs="Times New Roman"/>
          <w:sz w:val="24"/>
          <w:szCs w:val="24"/>
        </w:rPr>
      </w:pPr>
      <w:r w:rsidRPr="00000B44">
        <w:rPr>
          <w:rFonts w:ascii="Times New Roman" w:hAnsi="Times New Roman" w:cs="Times New Roman"/>
          <w:sz w:val="24"/>
          <w:szCs w:val="24"/>
        </w:rPr>
        <w:t>Student’s Name</w:t>
      </w:r>
    </w:p>
    <w:p w:rsidR="00A76378" w:rsidRPr="00000B44" w:rsidRDefault="00A76378" w:rsidP="00A76378">
      <w:pPr>
        <w:spacing w:line="480" w:lineRule="auto"/>
        <w:jc w:val="center"/>
        <w:rPr>
          <w:rFonts w:ascii="Times New Roman" w:hAnsi="Times New Roman" w:cs="Times New Roman"/>
          <w:sz w:val="24"/>
          <w:szCs w:val="24"/>
        </w:rPr>
      </w:pPr>
      <w:r w:rsidRPr="00000B44">
        <w:rPr>
          <w:rFonts w:ascii="Times New Roman" w:hAnsi="Times New Roman" w:cs="Times New Roman"/>
          <w:sz w:val="24"/>
          <w:szCs w:val="24"/>
        </w:rPr>
        <w:t xml:space="preserve">Institution </w:t>
      </w:r>
      <w:r>
        <w:rPr>
          <w:rFonts w:ascii="Times New Roman" w:hAnsi="Times New Roman" w:cs="Times New Roman"/>
          <w:sz w:val="24"/>
          <w:szCs w:val="24"/>
        </w:rPr>
        <w:t>o</w:t>
      </w:r>
      <w:r w:rsidRPr="00000B44">
        <w:rPr>
          <w:rFonts w:ascii="Times New Roman" w:hAnsi="Times New Roman" w:cs="Times New Roman"/>
          <w:sz w:val="24"/>
          <w:szCs w:val="24"/>
        </w:rPr>
        <w:t>f Affiliation</w:t>
      </w: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582398" w:rsidRDefault="00582398" w:rsidP="001C768A">
      <w:pPr>
        <w:pStyle w:val="NormalWeb"/>
        <w:spacing w:before="0" w:beforeAutospacing="0" w:after="0" w:afterAutospacing="0"/>
        <w:rPr>
          <w:rStyle w:val="Strong"/>
          <w:color w:val="0E101A"/>
        </w:rPr>
      </w:pPr>
    </w:p>
    <w:p w:rsidR="001C768A" w:rsidRDefault="001C768A" w:rsidP="001C768A">
      <w:pPr>
        <w:pStyle w:val="NormalWeb"/>
        <w:spacing w:before="0" w:beforeAutospacing="0" w:after="0" w:afterAutospacing="0"/>
        <w:rPr>
          <w:color w:val="0E101A"/>
        </w:rPr>
      </w:pPr>
      <w:r>
        <w:rPr>
          <w:rStyle w:val="Strong"/>
          <w:color w:val="0E101A"/>
        </w:rPr>
        <w:t>Introduction</w:t>
      </w:r>
    </w:p>
    <w:p w:rsidR="001C768A" w:rsidRDefault="001C768A" w:rsidP="001C768A">
      <w:pPr>
        <w:pStyle w:val="NormalWeb"/>
        <w:spacing w:before="0" w:beforeAutospacing="0" w:after="0" w:afterAutospacing="0"/>
        <w:rPr>
          <w:color w:val="0E101A"/>
        </w:rPr>
      </w:pPr>
      <w:r>
        <w:rPr>
          <w:color w:val="0E101A"/>
        </w:rPr>
        <w:t>This business report is about the auditing process, which deals with internal controls and risk management; however, the latter calls for collective responsibility. Moreover, they both ensure a safe economic system.</w:t>
      </w:r>
    </w:p>
    <w:p w:rsidR="001C768A" w:rsidRDefault="001C768A" w:rsidP="001C768A">
      <w:pPr>
        <w:pStyle w:val="NormalWeb"/>
        <w:spacing w:before="0" w:beforeAutospacing="0" w:after="0" w:afterAutospacing="0"/>
        <w:rPr>
          <w:color w:val="0E101A"/>
        </w:rPr>
      </w:pPr>
      <w:r>
        <w:rPr>
          <w:color w:val="0E101A"/>
        </w:rPr>
        <w:t>Below we shall look at certifications, roles of fraud detection and deterrence, and internal control service. We are critically analyzing CFE, CIA, and CISA report layout.</w:t>
      </w:r>
    </w:p>
    <w:p w:rsidR="001C768A" w:rsidRDefault="001C768A" w:rsidP="001C768A">
      <w:pPr>
        <w:pStyle w:val="NormalWeb"/>
        <w:spacing w:before="0" w:beforeAutospacing="0" w:after="0" w:afterAutospacing="0"/>
        <w:rPr>
          <w:color w:val="0E101A"/>
        </w:rPr>
      </w:pPr>
      <w:r>
        <w:rPr>
          <w:rStyle w:val="Strong"/>
          <w:color w:val="0E101A"/>
        </w:rPr>
        <w:t>Fraud detection and deterrence</w:t>
      </w:r>
    </w:p>
    <w:p w:rsidR="001C768A" w:rsidRDefault="001C768A" w:rsidP="001C768A">
      <w:pPr>
        <w:pStyle w:val="NormalWeb"/>
        <w:spacing w:before="0" w:beforeAutospacing="0" w:after="0" w:afterAutospacing="0"/>
        <w:rPr>
          <w:color w:val="0E101A"/>
        </w:rPr>
      </w:pPr>
      <w:r>
        <w:rPr>
          <w:color w:val="0E101A"/>
        </w:rPr>
        <w:t>Both fraud detection and deterrence are essential in preventing the misappropriation of financial information by any organization that may want to gain an unfair advantage over the others. The latter is more of a proactive and a preventive measure, unlike the former, which is reactive to any misappropriation. </w:t>
      </w:r>
    </w:p>
    <w:p w:rsidR="001C768A" w:rsidRDefault="001C768A" w:rsidP="001C768A">
      <w:pPr>
        <w:pStyle w:val="NormalWeb"/>
        <w:spacing w:before="0" w:beforeAutospacing="0" w:after="0" w:afterAutospacing="0"/>
        <w:rPr>
          <w:color w:val="0E101A"/>
        </w:rPr>
      </w:pPr>
      <w:r>
        <w:rPr>
          <w:color w:val="0E101A"/>
        </w:rPr>
        <w:t>           According to (R K Elliot; J J Willingham 1980), detection and prevention of fraudulent financial statements are basic to the functioning of the economic system.</w:t>
      </w:r>
    </w:p>
    <w:p w:rsidR="001C768A" w:rsidRDefault="001C768A" w:rsidP="001C768A">
      <w:pPr>
        <w:pStyle w:val="NormalWeb"/>
        <w:spacing w:before="0" w:beforeAutospacing="0" w:after="0" w:afterAutospacing="0"/>
        <w:rPr>
          <w:color w:val="0E101A"/>
        </w:rPr>
      </w:pPr>
      <w:r>
        <w:rPr>
          <w:color w:val="0E101A"/>
        </w:rPr>
        <w:t>Statistics show that companies lose around 5% of financial revenue due to fraud; Globally, it translates to approximately 3.7 trillion US dollars.</w:t>
      </w:r>
    </w:p>
    <w:p w:rsidR="001C768A" w:rsidRDefault="001C768A" w:rsidP="001C768A">
      <w:pPr>
        <w:pStyle w:val="NormalWeb"/>
        <w:spacing w:before="0" w:beforeAutospacing="0" w:after="0" w:afterAutospacing="0"/>
        <w:rPr>
          <w:color w:val="0E101A"/>
        </w:rPr>
      </w:pPr>
      <w:r>
        <w:rPr>
          <w:rStyle w:val="Strong"/>
          <w:color w:val="0E101A"/>
        </w:rPr>
        <w:t>Areas where fraud may occur</w:t>
      </w:r>
    </w:p>
    <w:p w:rsidR="001C768A" w:rsidRDefault="001C768A" w:rsidP="001C768A">
      <w:pPr>
        <w:pStyle w:val="NormalWeb"/>
        <w:spacing w:before="0" w:beforeAutospacing="0" w:after="0" w:afterAutospacing="0"/>
        <w:rPr>
          <w:color w:val="0E101A"/>
        </w:rPr>
      </w:pPr>
      <w:r>
        <w:rPr>
          <w:color w:val="0E101A"/>
        </w:rPr>
        <w:t>Compensation money, companies usually compensate workers who may get hurt while working; however, some are not credible. They often they usually lie about their health state, thus claiming more compensation than enough. In addition to that, some business usually forges their financial statement to lure out investors and get some bonus; thus, they even cheat in the stock market.</w:t>
      </w:r>
    </w:p>
    <w:p w:rsidR="001C768A" w:rsidRDefault="001C768A" w:rsidP="001C768A">
      <w:pPr>
        <w:pStyle w:val="NormalWeb"/>
        <w:spacing w:before="0" w:beforeAutospacing="0" w:after="0" w:afterAutospacing="0"/>
        <w:rPr>
          <w:color w:val="0E101A"/>
        </w:rPr>
      </w:pPr>
      <w:r>
        <w:rPr>
          <w:color w:val="0E101A"/>
        </w:rPr>
        <w:t>Fraud can also manifest in other ways, which, to mention a few, may include payroll funds, skimming, invoice fraud, financial statement fraud, tax fraud, fraud in terms of money, bribery and corruption, and of course not forgetting data intelligence and property theft.</w:t>
      </w:r>
    </w:p>
    <w:p w:rsidR="001C768A" w:rsidRDefault="001C768A" w:rsidP="001C768A">
      <w:pPr>
        <w:pStyle w:val="NormalWeb"/>
        <w:spacing w:before="0" w:beforeAutospacing="0" w:after="0" w:afterAutospacing="0"/>
        <w:rPr>
          <w:color w:val="0E101A"/>
        </w:rPr>
      </w:pPr>
      <w:r>
        <w:rPr>
          <w:color w:val="0E101A"/>
        </w:rPr>
        <w:t> As mentioned in the early part of this report, Businesses usually incur huge losses. Therefore an efficient way of curbing the problems needs to be formulated.</w:t>
      </w:r>
    </w:p>
    <w:p w:rsidR="001C768A" w:rsidRDefault="001C768A" w:rsidP="001C768A">
      <w:pPr>
        <w:pStyle w:val="NormalWeb"/>
        <w:spacing w:before="0" w:beforeAutospacing="0" w:after="0" w:afterAutospacing="0"/>
        <w:rPr>
          <w:color w:val="0E101A"/>
        </w:rPr>
      </w:pPr>
      <w:r>
        <w:rPr>
          <w:rStyle w:val="Strong"/>
          <w:color w:val="0E101A"/>
        </w:rPr>
        <w:t>Deterrence and detection of fraud </w:t>
      </w:r>
    </w:p>
    <w:p w:rsidR="001C768A" w:rsidRDefault="001C768A" w:rsidP="001C768A">
      <w:pPr>
        <w:pStyle w:val="NormalWeb"/>
        <w:spacing w:before="0" w:beforeAutospacing="0" w:after="0" w:afterAutospacing="0"/>
        <w:rPr>
          <w:color w:val="0E101A"/>
        </w:rPr>
      </w:pPr>
      <w:r>
        <w:rPr>
          <w:color w:val="0E101A"/>
        </w:rPr>
        <w:t>Money fraud is one of the most common frauds, where the buyer uses fake money when purchasing an item or paying for a service. An organization can handle money fraud using technology( technology has become vital in our day-to-day activity). An organization could use software like AccuBankerLED420 to detect fake money. Moreover, the workers, specifical cashiers, could also be trained on how to identify fake dollars.</w:t>
      </w:r>
    </w:p>
    <w:p w:rsidR="001C768A" w:rsidRDefault="001C768A" w:rsidP="001C768A">
      <w:pPr>
        <w:pStyle w:val="NormalWeb"/>
        <w:spacing w:before="0" w:beforeAutospacing="0" w:after="0" w:afterAutospacing="0"/>
        <w:rPr>
          <w:color w:val="0E101A"/>
        </w:rPr>
      </w:pPr>
      <w:r>
        <w:rPr>
          <w:color w:val="0E101A"/>
        </w:rPr>
        <w:t>Auditors can handle Financial statement fraud by allocating different workers to do the financial calculation and then observing the margin in different answers but on the same work.</w:t>
      </w:r>
    </w:p>
    <w:p w:rsidR="001C768A" w:rsidRDefault="001C768A" w:rsidP="001C768A">
      <w:pPr>
        <w:pStyle w:val="NormalWeb"/>
        <w:spacing w:before="0" w:beforeAutospacing="0" w:after="0" w:afterAutospacing="0"/>
        <w:rPr>
          <w:color w:val="0E101A"/>
        </w:rPr>
      </w:pPr>
      <w:r>
        <w:rPr>
          <w:color w:val="0E101A"/>
        </w:rPr>
        <w:t>It`s crystal clear that so far, we have looked at how we can prevent the occurrence of fraud. Hence what should we do if fraud does occur? Punishing fraud dealers should be put in the companies culture to put a heavy punishment on any fraud dealer. It may include hefty fines or deregistration from the company or both. </w:t>
      </w:r>
    </w:p>
    <w:p w:rsidR="001C768A" w:rsidRDefault="001C768A" w:rsidP="001C768A">
      <w:pPr>
        <w:pStyle w:val="NormalWeb"/>
        <w:spacing w:before="0" w:beforeAutospacing="0" w:after="0" w:afterAutospacing="0"/>
        <w:rPr>
          <w:color w:val="0E101A"/>
        </w:rPr>
      </w:pPr>
      <w:r>
        <w:rPr>
          <w:rStyle w:val="Strong"/>
          <w:color w:val="0E101A"/>
        </w:rPr>
        <w:t>Internal control</w:t>
      </w:r>
    </w:p>
    <w:p w:rsidR="001C768A" w:rsidRDefault="001C768A" w:rsidP="001C768A">
      <w:pPr>
        <w:pStyle w:val="NormalWeb"/>
        <w:spacing w:before="0" w:beforeAutospacing="0" w:after="0" w:afterAutospacing="0"/>
        <w:rPr>
          <w:color w:val="0E101A"/>
        </w:rPr>
      </w:pPr>
      <w:r>
        <w:rPr>
          <w:color w:val="0E101A"/>
        </w:rPr>
        <w:t xml:space="preserve">as an auditor, it would be wise to see that the organization does analyze the risk assessment because the auditor may give an audit opinion that may be inaccurate. Hence risk assessment would include detection risk, control risk, and inherent risk. In addition, the risk audit model will be a key focus, which will enable a transition to conduct realistic audits. Hence the results will appear more rational and defensible than if the model was not used. It will help allow work to be delegated to junior members of audit staff who will carry on without having to rely too much on </w:t>
      </w:r>
      <w:r>
        <w:rPr>
          <w:color w:val="0E101A"/>
        </w:rPr>
        <w:lastRenderedPageBreak/>
        <w:t>their judgment. And also, the increased use of computers in business has made the calculations of audit risk easier, leading to more efficient and effective audits.</w:t>
      </w:r>
    </w:p>
    <w:p w:rsidR="001C768A" w:rsidRDefault="001C768A" w:rsidP="001C768A">
      <w:pPr>
        <w:pStyle w:val="NormalWeb"/>
        <w:spacing w:before="0" w:beforeAutospacing="0" w:after="0" w:afterAutospacing="0"/>
        <w:rPr>
          <w:color w:val="0E101A"/>
        </w:rPr>
      </w:pPr>
      <w:r>
        <w:rPr>
          <w:color w:val="0E101A"/>
        </w:rPr>
        <w:t>Under the control environment component, which is under ISA 400, it involves the environment being the overall attitude, the awareness and actions of the directors and management regarding the internal control system and its importance to the organization. This controlled environment may be influenced by: awareness and actions of directors and management regarding the internal control system and its importance to the organization, the management philosophy, style, and ease with which managers could override controls, personnel policies and procedures, and also the implementation of organizational structure and methods of assigning authority and responsibility.</w:t>
      </w:r>
    </w:p>
    <w:p w:rsidR="001C768A" w:rsidRDefault="001C768A" w:rsidP="001C768A">
      <w:pPr>
        <w:pStyle w:val="NormalWeb"/>
        <w:spacing w:before="0" w:beforeAutospacing="0" w:after="0" w:afterAutospacing="0"/>
        <w:rPr>
          <w:color w:val="0E101A"/>
        </w:rPr>
      </w:pPr>
      <w:r>
        <w:rPr>
          <w:color w:val="0E101A"/>
        </w:rPr>
        <w:t>It should be noted that focusing on the organization chart is paramount; it`s so crucial as you already know in awarding various department different roles moreover it ensures that various personnel ensures that different functions are fulfilled in the organization,</w:t>
      </w:r>
    </w:p>
    <w:p w:rsidR="001C768A" w:rsidRDefault="001C768A" w:rsidP="001C768A">
      <w:pPr>
        <w:pStyle w:val="NormalWeb"/>
        <w:spacing w:before="0" w:beforeAutospacing="0" w:after="0" w:afterAutospacing="0"/>
        <w:rPr>
          <w:color w:val="0E101A"/>
        </w:rPr>
      </w:pPr>
      <w:r>
        <w:rPr>
          <w:color w:val="0E101A"/>
        </w:rPr>
        <w:t>Segregation of duties cannot be looked down upon, which is the separation of duties and responsibilities. Thus it will boost the interrelation of workers in society.</w:t>
      </w:r>
    </w:p>
    <w:p w:rsidR="001C768A" w:rsidRDefault="001C768A" w:rsidP="001C768A">
      <w:pPr>
        <w:pStyle w:val="NormalWeb"/>
        <w:spacing w:before="0" w:beforeAutospacing="0" w:after="0" w:afterAutospacing="0"/>
        <w:rPr>
          <w:color w:val="0E101A"/>
        </w:rPr>
      </w:pPr>
      <w:r>
        <w:rPr>
          <w:color w:val="0E101A"/>
        </w:rPr>
        <w:t>As mentioned early in this report, about physical theft, and regarding that, we need physical controls, which aim at keeping off unauthorized persons out of organization data intelligence. Therefore it may call for keeping assets under lock, adding more cameras, and not forgetting adding more security personnel. The auditor should ensure authorization and approval of transaction that commits the organization resources.</w:t>
      </w:r>
    </w:p>
    <w:p w:rsidR="001C768A" w:rsidRDefault="001C768A" w:rsidP="001C768A">
      <w:pPr>
        <w:pStyle w:val="NormalWeb"/>
        <w:spacing w:before="0" w:beforeAutospacing="0" w:after="0" w:afterAutospacing="0"/>
        <w:rPr>
          <w:color w:val="0E101A"/>
        </w:rPr>
      </w:pPr>
      <w:r>
        <w:rPr>
          <w:rStyle w:val="Strong"/>
          <w:color w:val="0E101A"/>
        </w:rPr>
        <w:t>Limitation of internal controls </w:t>
      </w:r>
    </w:p>
    <w:p w:rsidR="001C768A" w:rsidRDefault="001C768A" w:rsidP="001C768A">
      <w:pPr>
        <w:pStyle w:val="NormalWeb"/>
        <w:spacing w:before="0" w:beforeAutospacing="0" w:after="0" w:afterAutospacing="0"/>
        <w:rPr>
          <w:color w:val="0E101A"/>
        </w:rPr>
      </w:pPr>
      <w:r>
        <w:rPr>
          <w:color w:val="0E101A"/>
        </w:rPr>
        <w:t>Since most are usually directed toward routine transactions rather than non-routine transactions, it makes it have limited coverage. It will still leave room for fraud because non-routine transactions are not subjected to these controls.</w:t>
      </w:r>
    </w:p>
    <w:p w:rsidR="001C768A" w:rsidRDefault="001C768A" w:rsidP="001C768A">
      <w:pPr>
        <w:pStyle w:val="NormalWeb"/>
        <w:spacing w:before="0" w:beforeAutospacing="0" w:after="0" w:afterAutospacing="0"/>
        <w:rPr>
          <w:color w:val="0E101A"/>
        </w:rPr>
      </w:pPr>
      <w:r>
        <w:rPr>
          <w:color w:val="0E101A"/>
        </w:rPr>
        <w:t>Corruption could also pose a big challenge since some individuals could corrupt this set of controls. Human is to error; these errors range from distractions, careless mistakes, and misunderstanding of instruction and not forgetting that some seniors may abuse their position and hence be dictators to their juniors, thus creating a negative attitude towards these controls.</w:t>
      </w:r>
    </w:p>
    <w:p w:rsidR="001C768A" w:rsidRDefault="001C768A" w:rsidP="001C768A">
      <w:pPr>
        <w:pStyle w:val="NormalWeb"/>
        <w:spacing w:before="0" w:beforeAutospacing="0" w:after="0" w:afterAutospacing="0"/>
        <w:rPr>
          <w:color w:val="0E101A"/>
        </w:rPr>
      </w:pPr>
      <w:r>
        <w:rPr>
          <w:rStyle w:val="Strong"/>
          <w:color w:val="0E101A"/>
        </w:rPr>
        <w:t>Certifications</w:t>
      </w:r>
    </w:p>
    <w:p w:rsidR="001C768A" w:rsidRDefault="001C768A" w:rsidP="001C768A">
      <w:pPr>
        <w:pStyle w:val="NormalWeb"/>
        <w:spacing w:before="0" w:beforeAutospacing="0" w:after="0" w:afterAutospacing="0"/>
        <w:rPr>
          <w:color w:val="0E101A"/>
        </w:rPr>
      </w:pPr>
      <w:r>
        <w:rPr>
          <w:color w:val="0E101A"/>
        </w:rPr>
        <w:t>The role played by COSO cannot be under looked since it will enable the organization to develop expertise design, implementing, and monitoring internal control system, which is vital in ensuring better performance and helps fighting fraud. Moreover, it will help the organization make better decisions and reduce risks.</w:t>
      </w:r>
    </w:p>
    <w:p w:rsidR="001C768A" w:rsidRDefault="001C768A" w:rsidP="001C768A">
      <w:pPr>
        <w:pStyle w:val="NormalWeb"/>
        <w:spacing w:before="0" w:beforeAutospacing="0" w:after="0" w:afterAutospacing="0"/>
        <w:rPr>
          <w:color w:val="0E101A"/>
        </w:rPr>
      </w:pPr>
      <w:r>
        <w:rPr>
          <w:color w:val="0E101A"/>
        </w:rPr>
        <w:t>COSO enables identifying, analyzing, and responding to risks in an organization. Thus also enhancing better organization decision and operational efficiency. In addition, it will create a system whereby employees will learn from their experts and share their experiences.</w:t>
      </w:r>
    </w:p>
    <w:p w:rsidR="001C768A" w:rsidRDefault="001C768A" w:rsidP="001C768A">
      <w:pPr>
        <w:pStyle w:val="NormalWeb"/>
        <w:spacing w:before="0" w:beforeAutospacing="0" w:after="0" w:afterAutospacing="0"/>
        <w:rPr>
          <w:color w:val="0E101A"/>
        </w:rPr>
      </w:pPr>
      <w:r>
        <w:rPr>
          <w:color w:val="0E101A"/>
        </w:rPr>
        <w:t>CFE certification is very useful in fraud prevention, fraud detection, and deterrence. CFE will provide the internal editors with the potential knowledge needed to handle the complex financial transaction, forensic method, and how to resolve an allegation of fraud. Therefore they will ensure that proper control measures are put into place to efficiently fight fraud since they are highly trained to understand how and why fraud occurred.</w:t>
      </w:r>
    </w:p>
    <w:p w:rsidR="001C768A" w:rsidRDefault="001C768A" w:rsidP="001C768A">
      <w:pPr>
        <w:pStyle w:val="NormalWeb"/>
        <w:spacing w:before="0" w:beforeAutospacing="0" w:after="0" w:afterAutospacing="0"/>
        <w:rPr>
          <w:color w:val="0E101A"/>
        </w:rPr>
      </w:pPr>
      <w:r>
        <w:rPr>
          <w:color w:val="0E101A"/>
        </w:rPr>
        <w:t>The CIA is the accepted standard by which individuals of the organization showcase their competence and professionalism in the internal auditing control systems. Therefore ensuring that the auditor is credible within an organization and thus will sharpen the skills and the proficiency of an auditor in the organization,</w:t>
      </w:r>
    </w:p>
    <w:p w:rsidR="001C768A" w:rsidRDefault="001C768A" w:rsidP="001C768A">
      <w:pPr>
        <w:pStyle w:val="NormalWeb"/>
        <w:spacing w:before="0" w:beforeAutospacing="0" w:after="0" w:afterAutospacing="0"/>
        <w:rPr>
          <w:color w:val="0E101A"/>
        </w:rPr>
      </w:pPr>
      <w:r>
        <w:rPr>
          <w:color w:val="0E101A"/>
        </w:rPr>
        <w:lastRenderedPageBreak/>
        <w:t>CISA is the designation issued by the information systems audit and control association. The CIA is the global standard for the professionals involved in the career information systems in auditing, control, and security. The CISA holders demonstrate to their employers that they have all the efficient knowledge and the technical skills that meet the dynamic challenges that are facing the organizations. The auditors with these skills can implement the audit strategy for the information systems based on risk management. They can be able to plan audits that can be used whether they are or not IT assets, and thus can be able to execute the audits in compliance with the organization standards and objectives, and the auditors can be able to provide the audit results and recommendations to the management of the organization based on the results that they have provided.</w:t>
      </w:r>
    </w:p>
    <w:p w:rsidR="001C768A" w:rsidRDefault="001C768A" w:rsidP="001C768A">
      <w:pPr>
        <w:pStyle w:val="NormalWeb"/>
        <w:spacing w:before="0" w:beforeAutospacing="0" w:after="0" w:afterAutospacing="0"/>
        <w:rPr>
          <w:color w:val="0E101A"/>
        </w:rPr>
      </w:pPr>
      <w:r>
        <w:rPr>
          <w:rStyle w:val="Strong"/>
          <w:color w:val="0E101A"/>
        </w:rPr>
        <w:t>Reference </w:t>
      </w:r>
    </w:p>
    <w:p w:rsidR="001C768A" w:rsidRDefault="001C768A" w:rsidP="001C768A">
      <w:pPr>
        <w:pStyle w:val="NormalWeb"/>
        <w:spacing w:before="0" w:beforeAutospacing="0" w:after="0" w:afterAutospacing="0"/>
        <w:rPr>
          <w:color w:val="0E101A"/>
        </w:rPr>
      </w:pPr>
      <w:r>
        <w:rPr>
          <w:color w:val="0E101A"/>
        </w:rPr>
        <w:t>Strathmore University Press (2009) Auditing and Assurance first published 2001</w:t>
      </w:r>
    </w:p>
    <w:p w:rsidR="001C768A" w:rsidRDefault="001C768A" w:rsidP="001C768A">
      <w:pPr>
        <w:pStyle w:val="NormalWeb"/>
        <w:spacing w:before="0" w:beforeAutospacing="0" w:after="0" w:afterAutospacing="0"/>
        <w:rPr>
          <w:color w:val="0E101A"/>
        </w:rPr>
      </w:pPr>
      <w:r>
        <w:rPr>
          <w:rStyle w:val="Strong"/>
          <w:color w:val="0E101A"/>
        </w:rPr>
        <w:t>Citations </w:t>
      </w:r>
    </w:p>
    <w:p w:rsidR="001C768A" w:rsidRDefault="001C768A" w:rsidP="00A76378">
      <w:pPr>
        <w:pStyle w:val="NormalWeb"/>
        <w:spacing w:before="0" w:beforeAutospacing="0" w:after="0" w:afterAutospacing="0"/>
        <w:ind w:left="706" w:hanging="706"/>
        <w:rPr>
          <w:color w:val="0E101A"/>
        </w:rPr>
      </w:pPr>
      <w:r>
        <w:rPr>
          <w:rStyle w:val="Emphasis"/>
          <w:color w:val="0E101A"/>
        </w:rPr>
        <w:t>ACFE. (n.d.). Retrieved from acfe.com: www,acfe.co</w:t>
      </w:r>
    </w:p>
    <w:p w:rsidR="001C768A" w:rsidRDefault="001C768A" w:rsidP="00A76378">
      <w:pPr>
        <w:pStyle w:val="NormalWeb"/>
        <w:spacing w:before="0" w:beforeAutospacing="0" w:after="0" w:afterAutospacing="0"/>
        <w:ind w:left="706" w:hanging="706"/>
        <w:rPr>
          <w:color w:val="0E101A"/>
        </w:rPr>
      </w:pPr>
      <w:r>
        <w:rPr>
          <w:rStyle w:val="Emphasis"/>
          <w:color w:val="0E101A"/>
        </w:rPr>
        <w:t>AICPA store. (n.d.). Retrieved from COSO Internal Certificate Program: www.certificates.aicpastore.com</w:t>
      </w:r>
    </w:p>
    <w:p w:rsidR="001C768A" w:rsidRDefault="001C768A" w:rsidP="00A76378">
      <w:pPr>
        <w:pStyle w:val="NormalWeb"/>
        <w:spacing w:before="0" w:beforeAutospacing="0" w:after="0" w:afterAutospacing="0"/>
        <w:ind w:left="706" w:hanging="706"/>
        <w:rPr>
          <w:color w:val="0E101A"/>
        </w:rPr>
      </w:pPr>
      <w:r>
        <w:rPr>
          <w:rStyle w:val="Emphasis"/>
          <w:color w:val="0E101A"/>
        </w:rPr>
        <w:t>Investopedia. (n.d.). Retrieved from Investopedia.com: www.Investopedia.com</w:t>
      </w:r>
    </w:p>
    <w:p w:rsidR="001C768A" w:rsidRDefault="001C768A" w:rsidP="00A76378">
      <w:pPr>
        <w:pStyle w:val="NormalWeb"/>
        <w:spacing w:before="0" w:beforeAutospacing="0" w:after="0" w:afterAutospacing="0"/>
        <w:ind w:left="706" w:hanging="706"/>
        <w:rPr>
          <w:color w:val="0E101A"/>
        </w:rPr>
      </w:pPr>
      <w:r>
        <w:rPr>
          <w:rStyle w:val="Emphasis"/>
          <w:color w:val="0E101A"/>
        </w:rPr>
        <w:t>SearchSecurity. (n.d.). Retrieved from Searchsecurity.techtarget.com: www.Searchsecurity.techtarget.com</w:t>
      </w:r>
    </w:p>
    <w:p w:rsidR="001C768A" w:rsidRDefault="001C768A" w:rsidP="00A76378">
      <w:pPr>
        <w:pStyle w:val="NormalWeb"/>
        <w:spacing w:before="0" w:beforeAutospacing="0" w:after="0" w:afterAutospacing="0"/>
        <w:ind w:left="706" w:hanging="706"/>
        <w:rPr>
          <w:color w:val="0E101A"/>
        </w:rPr>
      </w:pPr>
      <w:r>
        <w:rPr>
          <w:rStyle w:val="Emphasis"/>
          <w:color w:val="0E101A"/>
        </w:rPr>
        <w:t>The Institute of Internal Auditors. (n.d.). Retrieved from na.theiia.org: www.na.theiia.org</w:t>
      </w:r>
    </w:p>
    <w:p w:rsidR="001C768A" w:rsidRDefault="001C768A" w:rsidP="001C768A">
      <w:pPr>
        <w:pStyle w:val="NormalWeb"/>
        <w:spacing w:before="0" w:beforeAutospacing="0" w:after="0" w:afterAutospacing="0"/>
        <w:rPr>
          <w:color w:val="0E101A"/>
        </w:rPr>
      </w:pPr>
    </w:p>
    <w:p w:rsidR="00F73470" w:rsidRDefault="00F73470"/>
    <w:sectPr w:rsidR="00F73470" w:rsidSect="006F0AB1">
      <w:headerReference w:type="default" r:id="rId6"/>
      <w:footerReference w:type="default" r:id="rId7"/>
      <w:pgSz w:w="12240" w:h="15840"/>
      <w:pgMar w:top="1440" w:right="1440" w:bottom="1440" w:left="1440" w:header="708" w:footer="708" w:gutter="0"/>
      <w:pgNumType w:start="1"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378" w:rsidRDefault="00A76378" w:rsidP="00A76378">
      <w:pPr>
        <w:spacing w:after="0" w:line="240" w:lineRule="auto"/>
      </w:pPr>
      <w:r>
        <w:separator/>
      </w:r>
    </w:p>
  </w:endnote>
  <w:endnote w:type="continuationSeparator" w:id="0">
    <w:p w:rsidR="00A76378" w:rsidRDefault="00A76378" w:rsidP="00A7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3047"/>
      <w:docPartObj>
        <w:docPartGallery w:val="Page Numbers (Bottom of Page)"/>
        <w:docPartUnique/>
      </w:docPartObj>
    </w:sdtPr>
    <w:sdtContent>
      <w:p w:rsidR="006F0AB1" w:rsidRDefault="006F0AB1">
        <w:pPr>
          <w:pStyle w:val="Footer"/>
          <w:jc w:val="right"/>
        </w:pPr>
        <w:fldSimple w:instr=" PAGE   \* MERGEFORMAT ">
          <w:r>
            <w:rPr>
              <w:noProof/>
            </w:rPr>
            <w:t>1</w:t>
          </w:r>
        </w:fldSimple>
      </w:p>
    </w:sdtContent>
  </w:sdt>
  <w:p w:rsidR="006F0AB1" w:rsidRDefault="006F0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378" w:rsidRDefault="00A76378" w:rsidP="00A76378">
      <w:pPr>
        <w:spacing w:after="0" w:line="240" w:lineRule="auto"/>
      </w:pPr>
      <w:r>
        <w:separator/>
      </w:r>
    </w:p>
  </w:footnote>
  <w:footnote w:type="continuationSeparator" w:id="0">
    <w:p w:rsidR="00A76378" w:rsidRDefault="00A76378" w:rsidP="00A763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378" w:rsidRPr="00A76378" w:rsidRDefault="00A76378">
    <w:pPr>
      <w:pStyle w:val="Header"/>
      <w:rPr>
        <w:lang w:val="en-US"/>
      </w:rPr>
    </w:pPr>
    <w:r>
      <w:rPr>
        <w:lang w:val="en-US"/>
      </w:rPr>
      <w:t xml:space="preserve">                                                                                                                           Running Head: R</w:t>
    </w:r>
    <w:r w:rsidR="006F0AB1">
      <w:rPr>
        <w:lang w:val="en-US"/>
      </w:rPr>
      <w:t>ole of A</w:t>
    </w:r>
    <w:r>
      <w:rPr>
        <w:lang w:val="en-US"/>
      </w:rPr>
      <w:t xml:space="preserve">uditing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1"/>
    <w:footnote w:id="0"/>
  </w:footnotePr>
  <w:endnotePr>
    <w:endnote w:id="-1"/>
    <w:endnote w:id="0"/>
  </w:endnotePr>
  <w:compat/>
  <w:rsids>
    <w:rsidRoot w:val="00BE1627"/>
    <w:rsid w:val="001C768A"/>
    <w:rsid w:val="002D75C1"/>
    <w:rsid w:val="00582398"/>
    <w:rsid w:val="006F0AB1"/>
    <w:rsid w:val="008563BD"/>
    <w:rsid w:val="00A367CE"/>
    <w:rsid w:val="00A76378"/>
    <w:rsid w:val="00BE1627"/>
    <w:rsid w:val="00CA5DF2"/>
    <w:rsid w:val="00CF2B23"/>
    <w:rsid w:val="00F73470"/>
  </w:rsids>
  <m:mathPr>
    <m:mathFont m:val="Cambria Math"/>
    <m:brkBin m:val="before"/>
    <m:brkBinSub m:val="--"/>
    <m:smallFrac m:val="off"/>
    <m:dispDef/>
    <m:lMargin m:val="0"/>
    <m:rMargin m:val="0"/>
    <m:defJc m:val="centerGroup"/>
    <m:wrapIndent m:val="1440"/>
    <m:intLim m:val="subSup"/>
    <m:naryLim m:val="undOvr"/>
  </m:mathPr>
  <w:themeFontLang w:val="sw-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w-K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D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768A"/>
    <w:pPr>
      <w:spacing w:before="100" w:beforeAutospacing="1" w:after="100" w:afterAutospacing="1" w:line="240" w:lineRule="auto"/>
    </w:pPr>
    <w:rPr>
      <w:rFonts w:ascii="Times New Roman" w:eastAsia="Times New Roman" w:hAnsi="Times New Roman" w:cs="Times New Roman"/>
      <w:sz w:val="24"/>
      <w:szCs w:val="24"/>
      <w:lang w:eastAsia="sw-KE"/>
    </w:rPr>
  </w:style>
  <w:style w:type="character" w:styleId="Strong">
    <w:name w:val="Strong"/>
    <w:basedOn w:val="DefaultParagraphFont"/>
    <w:uiPriority w:val="22"/>
    <w:qFormat/>
    <w:rsid w:val="001C768A"/>
    <w:rPr>
      <w:b/>
      <w:bCs/>
    </w:rPr>
  </w:style>
  <w:style w:type="character" w:styleId="Emphasis">
    <w:name w:val="Emphasis"/>
    <w:basedOn w:val="DefaultParagraphFont"/>
    <w:uiPriority w:val="20"/>
    <w:qFormat/>
    <w:rsid w:val="001C768A"/>
    <w:rPr>
      <w:i/>
      <w:iCs/>
    </w:rPr>
  </w:style>
  <w:style w:type="paragraph" w:styleId="Header">
    <w:name w:val="header"/>
    <w:basedOn w:val="Normal"/>
    <w:link w:val="HeaderChar"/>
    <w:uiPriority w:val="99"/>
    <w:semiHidden/>
    <w:unhideWhenUsed/>
    <w:rsid w:val="00A763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378"/>
  </w:style>
  <w:style w:type="paragraph" w:styleId="Footer">
    <w:name w:val="footer"/>
    <w:basedOn w:val="Normal"/>
    <w:link w:val="FooterChar"/>
    <w:uiPriority w:val="99"/>
    <w:unhideWhenUsed/>
    <w:rsid w:val="00A76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78"/>
  </w:style>
</w:styles>
</file>

<file path=word/webSettings.xml><?xml version="1.0" encoding="utf-8"?>
<w:webSettings xmlns:r="http://schemas.openxmlformats.org/officeDocument/2006/relationships" xmlns:w="http://schemas.openxmlformats.org/wordprocessingml/2006/main">
  <w:divs>
    <w:div w:id="84805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2021-05-09T09:46:00Z</dcterms:created>
  <dcterms:modified xsi:type="dcterms:W3CDTF">2021-05-09T09:46:00Z</dcterms:modified>
</cp:coreProperties>
</file>